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F5" w:rsidRPr="00DC3293" w:rsidRDefault="008549F5">
      <w:pPr>
        <w:widowControl w:val="0"/>
        <w:autoSpaceDE w:val="0"/>
        <w:autoSpaceDN w:val="0"/>
        <w:adjustRightInd w:val="0"/>
        <w:rPr>
          <w:sz w:val="24"/>
          <w:szCs w:val="24"/>
        </w:rPr>
      </w:pPr>
      <w:bookmarkStart w:id="0" w:name="_GoBack"/>
      <w:bookmarkEnd w:id="0"/>
      <w:r w:rsidRPr="00DC3293">
        <w:rPr>
          <w:b/>
          <w:bCs/>
          <w:sz w:val="24"/>
          <w:szCs w:val="24"/>
        </w:rPr>
        <w:t>Lesson</w:t>
      </w:r>
      <w:r w:rsidR="00E5437B">
        <w:rPr>
          <w:sz w:val="24"/>
          <w:szCs w:val="24"/>
        </w:rPr>
        <w:t>: Module 2</w:t>
      </w:r>
      <w:r w:rsidR="00DC3293" w:rsidRPr="00DC3293">
        <w:rPr>
          <w:sz w:val="24"/>
          <w:szCs w:val="24"/>
        </w:rPr>
        <w:t xml:space="preserve"> Activity 3</w:t>
      </w:r>
      <w:r w:rsidRPr="00DC3293">
        <w:rPr>
          <w:sz w:val="24"/>
          <w:szCs w:val="24"/>
        </w:rPr>
        <w:t xml:space="preserve">                 </w:t>
      </w:r>
      <w:r w:rsidRPr="00DC3293">
        <w:rPr>
          <w:b/>
          <w:bCs/>
          <w:sz w:val="24"/>
          <w:szCs w:val="24"/>
        </w:rPr>
        <w:t xml:space="preserve"> </w:t>
      </w:r>
      <w:r w:rsidR="006052CC">
        <w:rPr>
          <w:b/>
          <w:bCs/>
          <w:sz w:val="24"/>
          <w:szCs w:val="24"/>
        </w:rPr>
        <w:t xml:space="preserve">        </w:t>
      </w:r>
      <w:r w:rsidRPr="00DC3293">
        <w:rPr>
          <w:b/>
          <w:bCs/>
          <w:sz w:val="24"/>
          <w:szCs w:val="24"/>
        </w:rPr>
        <w:t>Topic</w:t>
      </w:r>
      <w:r w:rsidRPr="00DC3293">
        <w:rPr>
          <w:sz w:val="24"/>
          <w:szCs w:val="24"/>
        </w:rPr>
        <w:t xml:space="preserve">: </w:t>
      </w:r>
      <w:r w:rsidR="00636D4F">
        <w:rPr>
          <w:sz w:val="24"/>
          <w:szCs w:val="24"/>
        </w:rPr>
        <w:t>Calculating</w:t>
      </w:r>
      <w:r w:rsidR="00614989">
        <w:rPr>
          <w:sz w:val="24"/>
          <w:szCs w:val="24"/>
        </w:rPr>
        <w:t xml:space="preserve"> Grades </w:t>
      </w:r>
      <w:r w:rsidR="00196A81">
        <w:rPr>
          <w:sz w:val="24"/>
          <w:szCs w:val="24"/>
        </w:rPr>
        <w:t>in College</w:t>
      </w:r>
      <w:r w:rsidR="00614989">
        <w:rPr>
          <w:sz w:val="24"/>
          <w:szCs w:val="24"/>
        </w:rPr>
        <w:t xml:space="preserve"> Classes</w:t>
      </w:r>
    </w:p>
    <w:p w:rsidR="00DC3293" w:rsidRPr="00DC3293" w:rsidRDefault="00DC3293">
      <w:pPr>
        <w:widowControl w:val="0"/>
        <w:autoSpaceDE w:val="0"/>
        <w:autoSpaceDN w:val="0"/>
        <w:adjustRightInd w:val="0"/>
        <w:rPr>
          <w:sz w:val="24"/>
          <w:szCs w:val="24"/>
        </w:rPr>
      </w:pPr>
    </w:p>
    <w:p w:rsidR="00AD2FB4" w:rsidRPr="00DC3293" w:rsidRDefault="008549F5" w:rsidP="00DC3293">
      <w:pPr>
        <w:widowControl w:val="0"/>
        <w:autoSpaceDE w:val="0"/>
        <w:autoSpaceDN w:val="0"/>
        <w:adjustRightInd w:val="0"/>
        <w:rPr>
          <w:sz w:val="24"/>
          <w:szCs w:val="24"/>
        </w:rPr>
      </w:pPr>
      <w:r w:rsidRPr="00DC3293">
        <w:rPr>
          <w:b/>
          <w:bCs/>
          <w:sz w:val="24"/>
          <w:szCs w:val="24"/>
        </w:rPr>
        <w:t>Objective</w:t>
      </w:r>
      <w:r w:rsidRPr="00DC3293">
        <w:rPr>
          <w:sz w:val="24"/>
          <w:szCs w:val="24"/>
        </w:rPr>
        <w:t xml:space="preserve">: </w:t>
      </w:r>
      <w:r w:rsidR="000D760C">
        <w:rPr>
          <w:sz w:val="24"/>
          <w:szCs w:val="24"/>
        </w:rPr>
        <w:t>S</w:t>
      </w:r>
      <w:r w:rsidR="00DC3293" w:rsidRPr="00DC3293">
        <w:rPr>
          <w:sz w:val="24"/>
          <w:szCs w:val="24"/>
        </w:rPr>
        <w:t>tudents will demonstrate understanding of grade configuration for two different classes that have different assignment types and percentages.</w:t>
      </w:r>
    </w:p>
    <w:p w:rsidR="00DC3293" w:rsidRPr="00DC3293" w:rsidRDefault="00DC3293" w:rsidP="00DC3293">
      <w:pPr>
        <w:widowControl w:val="0"/>
        <w:autoSpaceDE w:val="0"/>
        <w:autoSpaceDN w:val="0"/>
        <w:adjustRightInd w:val="0"/>
        <w:rPr>
          <w:sz w:val="24"/>
          <w:szCs w:val="24"/>
        </w:rPr>
      </w:pPr>
    </w:p>
    <w:tbl>
      <w:tblPr>
        <w:tblW w:w="10800" w:type="dxa"/>
        <w:tblInd w:w="10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800"/>
      </w:tblGrid>
      <w:tr w:rsidR="008549F5" w:rsidRPr="00DC3293" w:rsidTr="00E31215">
        <w:tblPrEx>
          <w:tblCellMar>
            <w:top w:w="0" w:type="dxa"/>
            <w:bottom w:w="0" w:type="dxa"/>
          </w:tblCellMar>
        </w:tblPrEx>
        <w:tc>
          <w:tcPr>
            <w:tcW w:w="10800" w:type="dxa"/>
            <w:tcBorders>
              <w:top w:val="single" w:sz="4" w:space="0" w:color="BFBFBF"/>
              <w:bottom w:val="single" w:sz="4" w:space="0" w:color="BFBFBF"/>
            </w:tcBorders>
            <w:shd w:val="clear" w:color="auto" w:fill="FFC000"/>
            <w:vAlign w:val="center"/>
          </w:tcPr>
          <w:p w:rsidR="008549F5" w:rsidRPr="00DC3293" w:rsidRDefault="008549F5">
            <w:pPr>
              <w:widowControl w:val="0"/>
              <w:autoSpaceDE w:val="0"/>
              <w:autoSpaceDN w:val="0"/>
              <w:adjustRightInd w:val="0"/>
              <w:rPr>
                <w:b/>
                <w:bCs/>
                <w:sz w:val="24"/>
                <w:szCs w:val="24"/>
              </w:rPr>
            </w:pPr>
            <w:r w:rsidRPr="00DC3293">
              <w:rPr>
                <w:b/>
                <w:bCs/>
                <w:sz w:val="24"/>
                <w:szCs w:val="24"/>
              </w:rPr>
              <w:t>Materials Needed</w:t>
            </w:r>
          </w:p>
        </w:tc>
      </w:tr>
      <w:tr w:rsidR="008549F5" w:rsidRPr="00DC3293" w:rsidTr="00E31215">
        <w:tblPrEx>
          <w:tblBorders>
            <w:top w:val="none" w:sz="0" w:space="0" w:color="auto"/>
          </w:tblBorders>
          <w:tblCellMar>
            <w:top w:w="0" w:type="dxa"/>
            <w:bottom w:w="0" w:type="dxa"/>
          </w:tblCellMar>
        </w:tblPrEx>
        <w:tc>
          <w:tcPr>
            <w:tcW w:w="10800" w:type="dxa"/>
            <w:tcBorders>
              <w:top w:val="single" w:sz="4" w:space="0" w:color="BFBFBF"/>
              <w:bottom w:val="single" w:sz="4" w:space="0" w:color="BFBFBF"/>
            </w:tcBorders>
          </w:tcPr>
          <w:p w:rsidR="008549F5" w:rsidRPr="00DC3293" w:rsidRDefault="008549F5">
            <w:pPr>
              <w:widowControl w:val="0"/>
              <w:autoSpaceDE w:val="0"/>
              <w:autoSpaceDN w:val="0"/>
              <w:adjustRightInd w:val="0"/>
              <w:ind w:left="720"/>
              <w:rPr>
                <w:sz w:val="24"/>
                <w:szCs w:val="24"/>
              </w:rPr>
            </w:pPr>
          </w:p>
          <w:p w:rsidR="0076478C" w:rsidRPr="0076478C" w:rsidRDefault="0076478C" w:rsidP="001F61FA">
            <w:pPr>
              <w:widowControl w:val="0"/>
              <w:numPr>
                <w:ilvl w:val="0"/>
                <w:numId w:val="11"/>
              </w:numPr>
              <w:autoSpaceDE w:val="0"/>
              <w:autoSpaceDN w:val="0"/>
              <w:adjustRightInd w:val="0"/>
              <w:ind w:hanging="1098"/>
              <w:rPr>
                <w:bCs/>
                <w:sz w:val="24"/>
                <w:szCs w:val="24"/>
              </w:rPr>
            </w:pPr>
            <w:r w:rsidRPr="0076478C">
              <w:rPr>
                <w:bCs/>
                <w:sz w:val="24"/>
                <w:szCs w:val="24"/>
              </w:rPr>
              <w:t>PowerPoint with teacher notes</w:t>
            </w:r>
          </w:p>
          <w:p w:rsidR="00AD2FB4" w:rsidRPr="00DC3293" w:rsidRDefault="00AD2FB4" w:rsidP="001F61FA">
            <w:pPr>
              <w:widowControl w:val="0"/>
              <w:numPr>
                <w:ilvl w:val="0"/>
                <w:numId w:val="11"/>
              </w:numPr>
              <w:autoSpaceDE w:val="0"/>
              <w:autoSpaceDN w:val="0"/>
              <w:adjustRightInd w:val="0"/>
              <w:ind w:hanging="1098"/>
              <w:rPr>
                <w:b/>
                <w:bCs/>
                <w:sz w:val="24"/>
                <w:szCs w:val="24"/>
              </w:rPr>
            </w:pPr>
            <w:r w:rsidRPr="00DC3293">
              <w:rPr>
                <w:sz w:val="24"/>
                <w:szCs w:val="24"/>
              </w:rPr>
              <w:t>Transition Notebook</w:t>
            </w:r>
          </w:p>
          <w:p w:rsidR="008549F5" w:rsidRPr="00DC3293" w:rsidRDefault="008549F5" w:rsidP="00DC3293">
            <w:pPr>
              <w:widowControl w:val="0"/>
              <w:autoSpaceDE w:val="0"/>
              <w:autoSpaceDN w:val="0"/>
              <w:adjustRightInd w:val="0"/>
              <w:ind w:left="720"/>
              <w:rPr>
                <w:b/>
                <w:bCs/>
                <w:sz w:val="24"/>
                <w:szCs w:val="24"/>
              </w:rPr>
            </w:pPr>
          </w:p>
        </w:tc>
      </w:tr>
      <w:tr w:rsidR="008549F5" w:rsidRPr="00DC3293" w:rsidTr="00E31215">
        <w:tblPrEx>
          <w:tblBorders>
            <w:top w:val="none" w:sz="0" w:space="0" w:color="auto"/>
          </w:tblBorders>
          <w:tblCellMar>
            <w:top w:w="0" w:type="dxa"/>
            <w:bottom w:w="0" w:type="dxa"/>
          </w:tblCellMar>
        </w:tblPrEx>
        <w:tc>
          <w:tcPr>
            <w:tcW w:w="10800" w:type="dxa"/>
            <w:tcBorders>
              <w:top w:val="single" w:sz="4" w:space="0" w:color="BFBFBF"/>
              <w:bottom w:val="single" w:sz="4" w:space="0" w:color="BFBFBF"/>
            </w:tcBorders>
            <w:shd w:val="clear" w:color="auto" w:fill="FFC000"/>
            <w:vAlign w:val="center"/>
          </w:tcPr>
          <w:p w:rsidR="008549F5" w:rsidRPr="00DC3293" w:rsidRDefault="008549F5">
            <w:pPr>
              <w:widowControl w:val="0"/>
              <w:autoSpaceDE w:val="0"/>
              <w:autoSpaceDN w:val="0"/>
              <w:adjustRightInd w:val="0"/>
              <w:rPr>
                <w:b/>
                <w:bCs/>
                <w:sz w:val="24"/>
                <w:szCs w:val="24"/>
              </w:rPr>
            </w:pPr>
            <w:r w:rsidRPr="00DC3293">
              <w:rPr>
                <w:b/>
                <w:bCs/>
                <w:sz w:val="24"/>
                <w:szCs w:val="24"/>
              </w:rPr>
              <w:t>Activity Description</w:t>
            </w:r>
          </w:p>
        </w:tc>
      </w:tr>
      <w:tr w:rsidR="008549F5" w:rsidRPr="00DC3293" w:rsidTr="00E31215">
        <w:tblPrEx>
          <w:tblBorders>
            <w:top w:val="none" w:sz="0" w:space="0" w:color="auto"/>
            <w:bottom w:val="single" w:sz="4" w:space="0" w:color="BFBFBF"/>
          </w:tblBorders>
          <w:tblCellMar>
            <w:top w:w="0" w:type="dxa"/>
            <w:bottom w:w="0" w:type="dxa"/>
          </w:tblCellMar>
        </w:tblPrEx>
        <w:tc>
          <w:tcPr>
            <w:tcW w:w="10800" w:type="dxa"/>
            <w:tcBorders>
              <w:top w:val="single" w:sz="4" w:space="0" w:color="BFBFBF"/>
              <w:bottom w:val="single" w:sz="4" w:space="0" w:color="BFBFBF"/>
            </w:tcBorders>
          </w:tcPr>
          <w:p w:rsidR="008549F5" w:rsidRDefault="008549F5">
            <w:pPr>
              <w:widowControl w:val="0"/>
              <w:autoSpaceDE w:val="0"/>
              <w:autoSpaceDN w:val="0"/>
              <w:adjustRightInd w:val="0"/>
              <w:rPr>
                <w:sz w:val="24"/>
                <w:szCs w:val="24"/>
              </w:rPr>
            </w:pPr>
          </w:p>
          <w:p w:rsidR="0076478C" w:rsidRPr="0076478C" w:rsidRDefault="0076478C" w:rsidP="00196A81">
            <w:pPr>
              <w:widowControl w:val="0"/>
              <w:autoSpaceDE w:val="0"/>
              <w:autoSpaceDN w:val="0"/>
              <w:adjustRightInd w:val="0"/>
              <w:ind w:left="360"/>
              <w:rPr>
                <w:b/>
                <w:sz w:val="24"/>
                <w:szCs w:val="24"/>
                <w:u w:val="single"/>
              </w:rPr>
            </w:pPr>
            <w:r>
              <w:rPr>
                <w:b/>
                <w:sz w:val="24"/>
                <w:szCs w:val="24"/>
                <w:u w:val="single"/>
              </w:rPr>
              <w:t>Teacher Input</w:t>
            </w:r>
          </w:p>
          <w:p w:rsidR="00DC3293" w:rsidRDefault="0076478C" w:rsidP="0076478C">
            <w:pPr>
              <w:widowControl w:val="0"/>
              <w:autoSpaceDE w:val="0"/>
              <w:autoSpaceDN w:val="0"/>
              <w:adjustRightInd w:val="0"/>
              <w:ind w:left="360"/>
              <w:rPr>
                <w:sz w:val="24"/>
                <w:szCs w:val="24"/>
              </w:rPr>
            </w:pPr>
            <w:r>
              <w:rPr>
                <w:sz w:val="24"/>
                <w:szCs w:val="24"/>
              </w:rPr>
              <w:t xml:space="preserve">Using the accompanying PowerPoint facilitate a class discussion about college grading, including instructions on how to calculate grades for both a points-based grading system and a percentage-weight- based grading system. </w:t>
            </w:r>
          </w:p>
          <w:p w:rsidR="0076478C" w:rsidRDefault="0076478C" w:rsidP="0076478C">
            <w:pPr>
              <w:widowControl w:val="0"/>
              <w:autoSpaceDE w:val="0"/>
              <w:autoSpaceDN w:val="0"/>
              <w:adjustRightInd w:val="0"/>
              <w:ind w:left="360"/>
              <w:rPr>
                <w:sz w:val="24"/>
                <w:szCs w:val="24"/>
              </w:rPr>
            </w:pPr>
          </w:p>
          <w:p w:rsidR="0076478C" w:rsidRDefault="0076478C" w:rsidP="0076478C">
            <w:pPr>
              <w:widowControl w:val="0"/>
              <w:autoSpaceDE w:val="0"/>
              <w:autoSpaceDN w:val="0"/>
              <w:adjustRightInd w:val="0"/>
              <w:ind w:left="360"/>
              <w:rPr>
                <w:sz w:val="24"/>
                <w:szCs w:val="24"/>
              </w:rPr>
            </w:pPr>
            <w:r w:rsidRPr="0076478C">
              <w:rPr>
                <w:b/>
                <w:sz w:val="24"/>
                <w:szCs w:val="24"/>
                <w:u w:val="single"/>
              </w:rPr>
              <w:t>Activity</w:t>
            </w:r>
          </w:p>
          <w:p w:rsidR="0076478C" w:rsidRDefault="0076478C" w:rsidP="0076478C">
            <w:pPr>
              <w:widowControl w:val="0"/>
              <w:autoSpaceDE w:val="0"/>
              <w:autoSpaceDN w:val="0"/>
              <w:adjustRightInd w:val="0"/>
              <w:ind w:left="360"/>
              <w:rPr>
                <w:sz w:val="24"/>
                <w:szCs w:val="24"/>
              </w:rPr>
            </w:pPr>
            <w:r>
              <w:rPr>
                <w:sz w:val="24"/>
                <w:szCs w:val="24"/>
              </w:rPr>
              <w:t>Walk students through the provided examples of calculating grades. Then distribute the Grade Calculation worksheet and have students calculate the grades for both situations listed on the worksheet. Review the steps as needed to help students reach an accurate result.</w:t>
            </w:r>
          </w:p>
          <w:p w:rsidR="0076478C" w:rsidRPr="00DC3293" w:rsidRDefault="0076478C" w:rsidP="0076478C">
            <w:pPr>
              <w:widowControl w:val="0"/>
              <w:autoSpaceDE w:val="0"/>
              <w:autoSpaceDN w:val="0"/>
              <w:adjustRightInd w:val="0"/>
              <w:ind w:left="360"/>
              <w:rPr>
                <w:sz w:val="24"/>
                <w:szCs w:val="24"/>
              </w:rPr>
            </w:pPr>
          </w:p>
        </w:tc>
      </w:tr>
    </w:tbl>
    <w:p w:rsidR="008549F5" w:rsidRDefault="00DF3468">
      <w:pPr>
        <w:widowControl w:val="0"/>
        <w:autoSpaceDE w:val="0"/>
        <w:autoSpaceDN w:val="0"/>
        <w:adjustRightInd w:val="0"/>
        <w:jc w:val="center"/>
        <w:rPr>
          <w:b/>
          <w:bCs/>
          <w:sz w:val="24"/>
          <w:szCs w:val="24"/>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1127760" cy="39624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49F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C522408"/>
    <w:multiLevelType w:val="hybridMultilevel"/>
    <w:tmpl w:val="8B0CD22E"/>
    <w:lvl w:ilvl="0" w:tplc="ED6E1C1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AD4DC9"/>
    <w:multiLevelType w:val="hybridMultilevel"/>
    <w:tmpl w:val="9EAEE21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02976"/>
    <w:multiLevelType w:val="hybridMultilevel"/>
    <w:tmpl w:val="9F284C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E43C9"/>
    <w:multiLevelType w:val="hybridMultilevel"/>
    <w:tmpl w:val="67406DD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A631BB"/>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BB6505E"/>
    <w:multiLevelType w:val="hybridMultilevel"/>
    <w:tmpl w:val="C23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2267A"/>
    <w:multiLevelType w:val="hybridMultilevel"/>
    <w:tmpl w:val="7D522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35"/>
    <w:rsid w:val="00061988"/>
    <w:rsid w:val="00081B6E"/>
    <w:rsid w:val="000D760C"/>
    <w:rsid w:val="00196A81"/>
    <w:rsid w:val="001F61FA"/>
    <w:rsid w:val="002B3B2D"/>
    <w:rsid w:val="003375C3"/>
    <w:rsid w:val="003D7FA0"/>
    <w:rsid w:val="003E2533"/>
    <w:rsid w:val="006052CC"/>
    <w:rsid w:val="00614989"/>
    <w:rsid w:val="00636D4F"/>
    <w:rsid w:val="006C0D99"/>
    <w:rsid w:val="006F0E4A"/>
    <w:rsid w:val="00727D1B"/>
    <w:rsid w:val="0076478C"/>
    <w:rsid w:val="007A4BD1"/>
    <w:rsid w:val="00830100"/>
    <w:rsid w:val="008549F5"/>
    <w:rsid w:val="008940D1"/>
    <w:rsid w:val="008A5444"/>
    <w:rsid w:val="009742D7"/>
    <w:rsid w:val="00A23558"/>
    <w:rsid w:val="00A61E18"/>
    <w:rsid w:val="00AD2FB4"/>
    <w:rsid w:val="00AF6360"/>
    <w:rsid w:val="00B036A8"/>
    <w:rsid w:val="00C7506F"/>
    <w:rsid w:val="00CE2F42"/>
    <w:rsid w:val="00CF37D6"/>
    <w:rsid w:val="00D213AC"/>
    <w:rsid w:val="00DC3293"/>
    <w:rsid w:val="00DF3468"/>
    <w:rsid w:val="00E31215"/>
    <w:rsid w:val="00E5437B"/>
    <w:rsid w:val="00E86798"/>
    <w:rsid w:val="00ED7F61"/>
    <w:rsid w:val="00F05A68"/>
    <w:rsid w:val="00F21F47"/>
    <w:rsid w:val="00F57035"/>
    <w:rsid w:val="00F63288"/>
    <w:rsid w:val="00FD7038"/>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CF9AA2-1E7F-D846-A2BD-A4910D00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2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ECU SPED</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Plan</dc:title>
  <dc:subject/>
  <dc:creator>WILLIAMSSAR</dc:creator>
  <cp:keywords/>
  <dc:description/>
  <cp:lastModifiedBy>Butler, Richard Lee</cp:lastModifiedBy>
  <cp:revision>2</cp:revision>
  <dcterms:created xsi:type="dcterms:W3CDTF">2020-07-28T15:04:00Z</dcterms:created>
  <dcterms:modified xsi:type="dcterms:W3CDTF">2020-07-28T15:04:00Z</dcterms:modified>
</cp:coreProperties>
</file>